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AD059">
      <w:pPr>
        <w:pStyle w:val="3"/>
        <w:rPr>
          <w:rFonts w:hint="eastAsia"/>
          <w:spacing w:val="-10"/>
        </w:rPr>
      </w:pPr>
      <w:r>
        <w:t>附件</w:t>
      </w:r>
      <w:r>
        <w:rPr>
          <w:rFonts w:hint="eastAsia"/>
          <w:spacing w:val="-10"/>
        </w:rPr>
        <w:t>3</w:t>
      </w:r>
    </w:p>
    <w:p w14:paraId="6B07A02D">
      <w:pPr>
        <w:pStyle w:val="3"/>
        <w:spacing w:line="8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海南省智慧交通产业发展有限公司</w:t>
      </w:r>
    </w:p>
    <w:p w14:paraId="1E98C0E1">
      <w:pPr>
        <w:pStyle w:val="3"/>
        <w:spacing w:line="800" w:lineRule="exact"/>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2026年度科技项目征集指南</w:t>
      </w:r>
      <w:r>
        <w:rPr>
          <w:rFonts w:hint="eastAsia" w:ascii="方正小标宋简体" w:hAnsi="方正小标宋简体" w:eastAsia="方正小标宋简体" w:cs="方正小标宋简体"/>
          <w:b w:val="0"/>
          <w:bCs/>
          <w:sz w:val="44"/>
          <w:szCs w:val="44"/>
          <w:lang w:eastAsia="zh-CN"/>
        </w:rPr>
        <w:t>（</w:t>
      </w:r>
      <w:r>
        <w:rPr>
          <w:rFonts w:hint="eastAsia" w:ascii="方正小标宋简体" w:hAnsi="方正小标宋简体" w:eastAsia="方正小标宋简体" w:cs="方正小标宋简体"/>
          <w:b w:val="0"/>
          <w:bCs/>
          <w:sz w:val="44"/>
          <w:szCs w:val="44"/>
          <w:lang w:val="en-US" w:eastAsia="zh-CN"/>
        </w:rPr>
        <w:t>第一批</w:t>
      </w:r>
      <w:r>
        <w:rPr>
          <w:rFonts w:hint="eastAsia" w:ascii="方正小标宋简体" w:hAnsi="方正小标宋简体" w:eastAsia="方正小标宋简体" w:cs="方正小标宋简体"/>
          <w:b w:val="0"/>
          <w:bCs/>
          <w:sz w:val="44"/>
          <w:szCs w:val="44"/>
          <w:lang w:eastAsia="zh-CN"/>
        </w:rPr>
        <w:t>）</w:t>
      </w:r>
    </w:p>
    <w:p w14:paraId="652C4C2E">
      <w:pPr>
        <w:spacing w:line="560" w:lineRule="exact"/>
        <w:ind w:firstLine="640"/>
        <w:rPr>
          <w:rFonts w:hint="eastAsia"/>
        </w:rPr>
      </w:pPr>
      <w:r>
        <w:rPr>
          <w:rFonts w:hint="eastAsia"/>
        </w:rPr>
        <w:t>本指南旨在推动多学科、多技术创新，破解智慧交通建设、运维、管理、数据运营中的关键技术瓶颈，培育交通新质生产力，构建自主可控的核心技术体系，打造具有海南特色的智慧交通解决方案。</w:t>
      </w:r>
      <w:r>
        <w:t>现面向高校、科研院所、科技企业及交通行业相关单位，公开征集2026年度科技项目</w:t>
      </w:r>
      <w:r>
        <w:rPr>
          <w:rFonts w:hint="eastAsia"/>
        </w:rPr>
        <w:t>。</w:t>
      </w:r>
    </w:p>
    <w:p w14:paraId="6F7375BF">
      <w:pPr>
        <w:spacing w:line="560" w:lineRule="exact"/>
        <w:ind w:firstLine="640"/>
        <w:rPr>
          <w:rFonts w:hint="eastAsia"/>
        </w:rPr>
      </w:pPr>
      <w:r>
        <w:rPr>
          <w:rFonts w:hint="eastAsia"/>
        </w:rPr>
        <w:t>本次课题征集坚持场景导向、问题导向、成果导向，紧密结合集团重点项目建设需求，</w:t>
      </w:r>
      <w:r>
        <w:t>围绕智慧交通建设、运营、养护、机电、数据应用等方面存在的技术难点，鼓励申报单位结合自身研究基础和技术优势，自主提出研究方案和攻关路径，形成可实施、可落地、可转化的科技项目</w:t>
      </w:r>
      <w:r>
        <w:rPr>
          <w:rFonts w:hint="eastAsia"/>
        </w:rPr>
        <w:t>。</w:t>
      </w:r>
    </w:p>
    <w:p w14:paraId="1268CA89">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outlineLvl w:val="1"/>
        <w:rPr>
          <w:rFonts w:hint="eastAsia" w:ascii="黑体" w:hAnsi="黑体" w:eastAsia="黑体" w:cs="黑体"/>
          <w:bCs/>
          <w:highlight w:val="none"/>
        </w:rPr>
      </w:pPr>
      <w:bookmarkStart w:id="0" w:name="heading_3"/>
      <w:bookmarkStart w:id="1" w:name="heading_0"/>
      <w:r>
        <w:rPr>
          <w:rFonts w:hint="eastAsia" w:ascii="黑体" w:hAnsi="黑体" w:eastAsia="黑体" w:cs="黑体"/>
          <w:bCs/>
          <w:highlight w:val="none"/>
          <w:lang w:val="en-US" w:eastAsia="zh-CN"/>
        </w:rPr>
        <w:t>一</w:t>
      </w:r>
      <w:r>
        <w:rPr>
          <w:rFonts w:hint="eastAsia" w:ascii="黑体" w:hAnsi="黑体" w:eastAsia="黑体" w:cs="黑体"/>
          <w:bCs/>
          <w:highlight w:val="none"/>
        </w:rPr>
        <w:t>、</w:t>
      </w:r>
      <w:bookmarkEnd w:id="0"/>
      <w:r>
        <w:rPr>
          <w:rFonts w:hint="eastAsia" w:ascii="黑体" w:hAnsi="黑体" w:eastAsia="黑体" w:cs="黑体"/>
          <w:bCs/>
          <w:highlight w:val="none"/>
        </w:rPr>
        <w:t>海南 “三高一多” 环境下公路外场智能</w:t>
      </w:r>
      <w:r>
        <w:rPr>
          <w:rFonts w:hint="eastAsia" w:ascii="黑体" w:hAnsi="黑体" w:eastAsia="黑体" w:cs="黑体"/>
          <w:bCs/>
          <w:highlight w:val="none"/>
          <w:lang w:val="en-US" w:eastAsia="zh-CN"/>
        </w:rPr>
        <w:t>机</w:t>
      </w:r>
      <w:r>
        <w:rPr>
          <w:rFonts w:hint="eastAsia" w:ascii="黑体" w:hAnsi="黑体" w:eastAsia="黑体" w:cs="黑体"/>
          <w:bCs/>
          <w:highlight w:val="none"/>
        </w:rPr>
        <w:t>箱与一体化防雷感知技术研究</w:t>
      </w:r>
    </w:p>
    <w:p w14:paraId="24CB9FB0">
      <w:pPr>
        <w:spacing w:line="560" w:lineRule="exact"/>
        <w:ind w:firstLine="640"/>
        <w:rPr>
          <w:rFonts w:hint="eastAsia"/>
          <w:highlight w:val="none"/>
          <w:lang w:val="en-US" w:eastAsia="zh-CN"/>
        </w:rPr>
      </w:pPr>
      <w:r>
        <w:rPr>
          <w:rFonts w:hint="eastAsia"/>
          <w:highlight w:val="none"/>
          <w:lang w:val="en-US" w:eastAsia="zh-CN"/>
        </w:rPr>
        <w:t>海南省公路机电设备在高温、高湿、高盐雾环境下，腐蚀与故障率远高于内陆地区，本次研究针对海南省公路机电设施长期运行面临的高温、高湿、高盐雾、多设备集成、多网络接入等复杂环境问题，开展适用于“三高一多”（高温、高湿、高盐雾、多设备接入）环境的智能机箱关键技术研究，提升前端监控设施的稳定性、智能化运维能力及长期可靠运行水平。同时面向智慧高速建设背景下公路机电设施防雷智能化发展需求，同步解决传统机箱配套防雷设备保护功能与状态监测相互独立、防雷装置运行状态难以实时感知等行业短板，配套研发箱内融合感知防雷一体化装置，实现配电、防雷、状态感知一体化集成管控。</w:t>
      </w:r>
    </w:p>
    <w:p w14:paraId="64B28825">
      <w:pPr>
        <w:spacing w:line="560" w:lineRule="exact"/>
        <w:ind w:firstLine="640"/>
        <w:rPr>
          <w:rFonts w:hint="eastAsia"/>
          <w:lang w:val="en-US" w:eastAsia="zh-CN"/>
        </w:rPr>
      </w:pPr>
      <w:r>
        <w:rPr>
          <w:rFonts w:hint="eastAsia"/>
          <w:highlight w:val="none"/>
          <w:lang w:val="en-US" w:eastAsia="zh-CN"/>
        </w:rPr>
        <w:t>申报单位可结合机电设备智能机箱、雷区感知防护等内容，自主设计研究任务与实施方案，形成适配海南三高一多极端环境、温控稳定、运维便捷、成本可控、拓展性强的外场监控智能机箱整体解决方案，解决海南户外监控设备高温失效、运维低效、适配性差、造价偏高、防雷监测缺失的核心问题，为海南户外前端监控设备智能化、常态化、稳定化运行提供硬件与技术支撑。</w:t>
      </w:r>
    </w:p>
    <w:p w14:paraId="739CA500">
      <w:pPr>
        <w:spacing w:line="560" w:lineRule="exact"/>
        <w:ind w:firstLine="640"/>
        <w:rPr>
          <w:rFonts w:hint="default" w:ascii="黑体" w:hAnsi="黑体" w:eastAsia="黑体" w:cs="黑体"/>
          <w:bCs/>
          <w:highlight w:val="none"/>
          <w:lang w:val="en-US" w:eastAsia="zh-CN"/>
        </w:rPr>
      </w:pPr>
      <w:bookmarkStart w:id="2" w:name="heading_1"/>
      <w:r>
        <w:rPr>
          <w:rFonts w:hint="eastAsia" w:ascii="黑体" w:hAnsi="黑体" w:eastAsia="黑体" w:cs="黑体"/>
          <w:bCs/>
          <w:highlight w:val="none"/>
        </w:rPr>
        <w:t>二、</w:t>
      </w:r>
      <w:bookmarkEnd w:id="2"/>
      <w:r>
        <w:rPr>
          <w:rFonts w:hint="eastAsia" w:ascii="黑体" w:hAnsi="黑体" w:eastAsia="黑体" w:cs="黑体"/>
          <w:bCs/>
          <w:highlight w:val="none"/>
        </w:rPr>
        <w:t>高速机电设备智能运维系统架构与关键技术研究</w:t>
      </w:r>
    </w:p>
    <w:p w14:paraId="44E2D9AB">
      <w:pPr>
        <w:spacing w:line="560" w:lineRule="exact"/>
        <w:ind w:firstLine="640"/>
        <w:rPr>
          <w:rFonts w:hint="eastAsia"/>
          <w:highlight w:val="none"/>
          <w:lang w:val="en-US" w:eastAsia="zh-CN"/>
        </w:rPr>
      </w:pPr>
      <w:r>
        <w:rPr>
          <w:rFonts w:hint="eastAsia"/>
          <w:highlight w:val="none"/>
          <w:lang w:val="en-US" w:eastAsia="zh-CN"/>
        </w:rPr>
        <w:t>海南高速机电设备存在接入分散，设备通信协议异构等问题，造成各类设备数据碎片化、难以融合归集，设备运行状态监测覆盖面不足、数据不全面，整体路网机电设备智能化运维水平偏低，运维工作协同效率低下，无法实现精细化、数字化运维管理，需通过物联网与智能运维平台技术突破破解现状难题。本次研究将为海南智慧交通机电设备智能运维提供系统性技术方案与平台支撑，通过构建集团级机电智能运维平台和物联网平台分层软件架构，实现技术突破与应用落地。</w:t>
      </w:r>
    </w:p>
    <w:p w14:paraId="52A84B52">
      <w:pPr>
        <w:spacing w:line="560" w:lineRule="exact"/>
        <w:ind w:firstLine="640"/>
        <w:rPr>
          <w:rFonts w:hint="eastAsia"/>
          <w:highlight w:val="none"/>
          <w:lang w:val="en-US" w:eastAsia="zh-CN"/>
        </w:rPr>
      </w:pPr>
      <w:r>
        <w:rPr>
          <w:rFonts w:hint="eastAsia"/>
          <w:highlight w:val="none"/>
          <w:lang w:val="en-US" w:eastAsia="zh-CN"/>
        </w:rPr>
        <w:t>申报单位围绕高速机电设备智能运维管理、物联接入标准等发展需求，自主设计研究任务与实施方案，重点攻关高速外场机电设备统一物联接入技术，打破设备数据壁垒，实现多类型设备数据的统一汇聚与融合分析，同时深耕机电设备智能运维技术体系，搭建智能化运维辅助决策体系，结合设备资产全生命周期管理模式，定制适配海南地域环境的运维方案，编制配套技术指南，构建适配本地的机电设备智能运维体系，全面提升高速机电设备资产管理、运维处置数字化与智能化能力。</w:t>
      </w:r>
      <w:bookmarkEnd w:id="1"/>
    </w:p>
    <w:p w14:paraId="19229899">
      <w:pPr>
        <w:spacing w:line="560" w:lineRule="exact"/>
        <w:ind w:firstLine="640"/>
        <w:rPr>
          <w:rFonts w:hint="eastAsia" w:ascii="黑体" w:hAnsi="黑体" w:eastAsia="黑体" w:cs="黑体"/>
          <w:bCs/>
          <w:highlight w:val="none"/>
        </w:rPr>
      </w:pPr>
      <w:r>
        <w:rPr>
          <w:rFonts w:hint="eastAsia" w:ascii="黑体" w:hAnsi="黑体" w:eastAsia="黑体" w:cs="黑体"/>
          <w:bCs/>
          <w:highlight w:val="none"/>
          <w:lang w:val="en-US" w:eastAsia="zh-CN"/>
        </w:rPr>
        <w:t>三、</w:t>
      </w:r>
      <w:r>
        <w:rPr>
          <w:rFonts w:hint="eastAsia" w:ascii="黑体" w:hAnsi="黑体" w:eastAsia="黑体" w:cs="黑体"/>
          <w:bCs/>
          <w:highlight w:val="none"/>
        </w:rPr>
        <w:t>基于</w:t>
      </w:r>
      <w:r>
        <w:rPr>
          <w:rFonts w:hint="eastAsia" w:ascii="黑体" w:hAnsi="黑体" w:eastAsia="黑体" w:cs="黑体"/>
          <w:bCs/>
          <w:highlight w:val="none"/>
          <w:lang w:val="en-US" w:eastAsia="zh-CN"/>
        </w:rPr>
        <w:t>多源数据</w:t>
      </w:r>
      <w:bookmarkStart w:id="3" w:name="_GoBack"/>
      <w:bookmarkEnd w:id="3"/>
      <w:r>
        <w:rPr>
          <w:rFonts w:hint="eastAsia" w:ascii="黑体" w:hAnsi="黑体" w:eastAsia="黑体" w:cs="黑体"/>
          <w:bCs/>
          <w:highlight w:val="none"/>
        </w:rPr>
        <w:t>融合的高速公路风险感知与仿真预警关键技术研究</w:t>
      </w:r>
    </w:p>
    <w:p w14:paraId="2FC475C8">
      <w:pPr>
        <w:spacing w:line="560" w:lineRule="exact"/>
        <w:ind w:firstLine="640"/>
        <w:rPr>
          <w:rFonts w:hint="eastAsia"/>
          <w:highlight w:val="none"/>
        </w:rPr>
      </w:pPr>
      <w:r>
        <w:rPr>
          <w:rFonts w:hint="eastAsia"/>
          <w:highlight w:val="none"/>
        </w:rPr>
        <w:t>海南环岛高速公路作为岛内交通主干线，支撑自贸港人流、物流通行保障需求。当前高速公路数字化建设稳步推进，但现有感知基础设施建设存在明显短板。现阶段主要依靠两公里布设一组视频摄像头开展路网监测，感知手段单一；受布设密度限制，路网存在大量视觉盲区，难以实现全线连续覆盖。同时传统视频摄像头受光照条件制约严重，夜间感知能力不足，无法实现全时域不间断采集交通流量、突发交通事件等关键信息。叠加海南热带海岛高温、暴雨、浓雾、逆光等复杂气候影响，现有监测体系难以完整、精准掌握高速公路真实运行状态，交通态势感知覆盖面不足、感知时效受限，制约风险识别、事件预警与路网态势研判工作落地。在此形势下，需围绕海岛气候与高速运行特征，开展交通全域感知、智能事件识别、监测预警、多源数据融合相关技术研究，补齐路网感知体系短板。</w:t>
      </w:r>
      <w:r>
        <w:rPr>
          <w:rFonts w:hint="eastAsia"/>
          <w:highlight w:val="none"/>
          <w:lang w:val="en-US" w:eastAsia="zh-CN"/>
        </w:rPr>
        <w:t>本次研究</w:t>
      </w:r>
      <w:r>
        <w:rPr>
          <w:rFonts w:hint="eastAsia"/>
          <w:highlight w:val="none"/>
        </w:rPr>
        <w:t>围绕海南热带海岛气候条件和交通运行特点，针对交通运行监测、风险识别、事件预警、态势研判等方面存在的技术难点，开展交通全域感知、智能</w:t>
      </w:r>
      <w:r>
        <w:rPr>
          <w:rFonts w:hint="eastAsia"/>
          <w:highlight w:val="none"/>
          <w:lang w:val="en-US" w:eastAsia="zh-CN"/>
        </w:rPr>
        <w:t>事件</w:t>
      </w:r>
      <w:r>
        <w:rPr>
          <w:rFonts w:hint="eastAsia"/>
          <w:highlight w:val="none"/>
        </w:rPr>
        <w:t>识别、风险预警、监测分析</w:t>
      </w:r>
      <w:r>
        <w:rPr>
          <w:rFonts w:hint="eastAsia"/>
          <w:highlight w:val="none"/>
          <w:lang w:eastAsia="zh-CN"/>
        </w:rPr>
        <w:t>、</w:t>
      </w:r>
      <w:r>
        <w:rPr>
          <w:rFonts w:hint="eastAsia"/>
          <w:highlight w:val="none"/>
          <w:lang w:val="en-US" w:eastAsia="zh-CN"/>
        </w:rPr>
        <w:t>多源数据融合</w:t>
      </w:r>
      <w:r>
        <w:rPr>
          <w:rFonts w:hint="eastAsia"/>
          <w:highlight w:val="none"/>
        </w:rPr>
        <w:t>等相关技术研究。</w:t>
      </w:r>
    </w:p>
    <w:p w14:paraId="1B1189C8">
      <w:pPr>
        <w:spacing w:line="560" w:lineRule="exact"/>
        <w:ind w:firstLine="640"/>
        <w:rPr>
          <w:rFonts w:hint="eastAsia"/>
          <w:highlight w:val="none"/>
        </w:rPr>
      </w:pPr>
      <w:r>
        <w:rPr>
          <w:rFonts w:hint="eastAsia"/>
          <w:highlight w:val="none"/>
        </w:rPr>
        <w:t>申报单位可结合多源感知、视频识别、仿真推演、数据建模、监测预警等技术路径，围绕高速公路、桥梁、隧道、重点路段及其他典型交通场景，自主提出研究内容和实施方案，推动形成适应复杂环境和实际业务需求的监测预警技术成果。</w:t>
      </w:r>
    </w:p>
    <w:p w14:paraId="4D2E92C9">
      <w:pPr>
        <w:pStyle w:val="2"/>
        <w:rPr>
          <w:rFonts w:hint="eastAsia"/>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Avenir LT Std 35 Light">
    <w:altName w:val="Calibri"/>
    <w:panose1 w:val="00000000000000000000"/>
    <w:charset w:val="00"/>
    <w:family w:val="swiss"/>
    <w:pitch w:val="default"/>
    <w:sig w:usb0="00000000" w:usb1="00000000" w:usb2="00000000" w:usb3="00000000" w:csb0="0000009B"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D5CDD">
    <w:pPr>
      <w:pStyle w:val="14"/>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87F8A">
    <w:pPr>
      <w:pStyle w:val="1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9C6"/>
    <w:rsid w:val="000C28EE"/>
    <w:rsid w:val="001A3D77"/>
    <w:rsid w:val="001B23FE"/>
    <w:rsid w:val="00207E61"/>
    <w:rsid w:val="00342123"/>
    <w:rsid w:val="0038721C"/>
    <w:rsid w:val="0045219D"/>
    <w:rsid w:val="004B3455"/>
    <w:rsid w:val="00573C27"/>
    <w:rsid w:val="005E2B3A"/>
    <w:rsid w:val="006834D0"/>
    <w:rsid w:val="006A3DCD"/>
    <w:rsid w:val="00836C57"/>
    <w:rsid w:val="00932F39"/>
    <w:rsid w:val="009D4EC6"/>
    <w:rsid w:val="009E0EA3"/>
    <w:rsid w:val="00A51AAE"/>
    <w:rsid w:val="00AD0026"/>
    <w:rsid w:val="00B32C8C"/>
    <w:rsid w:val="00B61698"/>
    <w:rsid w:val="00B82AFD"/>
    <w:rsid w:val="00BB0F8A"/>
    <w:rsid w:val="00C371A7"/>
    <w:rsid w:val="00C909C6"/>
    <w:rsid w:val="00D67D2D"/>
    <w:rsid w:val="00DA503F"/>
    <w:rsid w:val="00E14278"/>
    <w:rsid w:val="00E214A3"/>
    <w:rsid w:val="00E6798B"/>
    <w:rsid w:val="00E93E13"/>
    <w:rsid w:val="00EA774D"/>
    <w:rsid w:val="00F66AAE"/>
    <w:rsid w:val="00FE3733"/>
    <w:rsid w:val="02024EA0"/>
    <w:rsid w:val="061433FD"/>
    <w:rsid w:val="08340D47"/>
    <w:rsid w:val="08A21732"/>
    <w:rsid w:val="0B4E1E86"/>
    <w:rsid w:val="0E541FF6"/>
    <w:rsid w:val="0F953986"/>
    <w:rsid w:val="11A723B8"/>
    <w:rsid w:val="124C6C24"/>
    <w:rsid w:val="142F0D40"/>
    <w:rsid w:val="16236B8C"/>
    <w:rsid w:val="17215F32"/>
    <w:rsid w:val="19972736"/>
    <w:rsid w:val="1BB71370"/>
    <w:rsid w:val="1DEE019F"/>
    <w:rsid w:val="1E583134"/>
    <w:rsid w:val="217A73D2"/>
    <w:rsid w:val="218867C2"/>
    <w:rsid w:val="21C75947"/>
    <w:rsid w:val="27971A78"/>
    <w:rsid w:val="29D45A08"/>
    <w:rsid w:val="2FA4415B"/>
    <w:rsid w:val="311158C8"/>
    <w:rsid w:val="315E4B06"/>
    <w:rsid w:val="3311789A"/>
    <w:rsid w:val="352933AF"/>
    <w:rsid w:val="3EBC1E16"/>
    <w:rsid w:val="3FED5BED"/>
    <w:rsid w:val="441141A2"/>
    <w:rsid w:val="47A83982"/>
    <w:rsid w:val="47BA47DD"/>
    <w:rsid w:val="48713324"/>
    <w:rsid w:val="49FB1C7C"/>
    <w:rsid w:val="50EE3BFD"/>
    <w:rsid w:val="53F03168"/>
    <w:rsid w:val="549E1464"/>
    <w:rsid w:val="556E559E"/>
    <w:rsid w:val="55CE3D63"/>
    <w:rsid w:val="55F0580E"/>
    <w:rsid w:val="56945064"/>
    <w:rsid w:val="592C0C28"/>
    <w:rsid w:val="59E448EA"/>
    <w:rsid w:val="5C755683"/>
    <w:rsid w:val="5EB125B2"/>
    <w:rsid w:val="600C531D"/>
    <w:rsid w:val="61B35C9F"/>
    <w:rsid w:val="61DE5DF7"/>
    <w:rsid w:val="641F6AA9"/>
    <w:rsid w:val="64A843DF"/>
    <w:rsid w:val="66C6679E"/>
    <w:rsid w:val="68FA63BC"/>
    <w:rsid w:val="6E02155B"/>
    <w:rsid w:val="717640E4"/>
    <w:rsid w:val="72231A8F"/>
    <w:rsid w:val="72EB3D22"/>
    <w:rsid w:val="76392339"/>
    <w:rsid w:val="763F34AA"/>
    <w:rsid w:val="78781E9A"/>
    <w:rsid w:val="78E87EA3"/>
    <w:rsid w:val="796646F5"/>
    <w:rsid w:val="79786DA9"/>
    <w:rsid w:val="79A16A30"/>
    <w:rsid w:val="7BE95897"/>
    <w:rsid w:val="7D3E658B"/>
    <w:rsid w:val="7D585039"/>
    <w:rsid w:val="7EC47483"/>
    <w:rsid w:val="7F730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仿宋" w:hAnsi="仿宋" w:eastAsia="仿宋" w:cs="仿宋"/>
      <w:kern w:val="2"/>
      <w:sz w:val="32"/>
      <w:szCs w:val="32"/>
      <w:lang w:val="en-US" w:eastAsia="zh-CN" w:bidi="ar-SA"/>
    </w:rPr>
  </w:style>
  <w:style w:type="paragraph" w:styleId="3">
    <w:name w:val="heading 1"/>
    <w:basedOn w:val="1"/>
    <w:next w:val="1"/>
    <w:link w:val="23"/>
    <w:qFormat/>
    <w:uiPriority w:val="0"/>
    <w:pPr>
      <w:ind w:firstLine="0" w:firstLineChars="0"/>
      <w:outlineLvl w:val="0"/>
    </w:pPr>
    <w:rPr>
      <w:rFonts w:ascii="黑体" w:hAnsi="黑体" w:eastAsia="黑体" w:cs="Times New Roman"/>
      <w:b/>
      <w:lang w:bidi="he-IL"/>
    </w:rPr>
  </w:style>
  <w:style w:type="paragraph" w:styleId="4">
    <w:name w:val="heading 2"/>
    <w:basedOn w:val="1"/>
    <w:next w:val="1"/>
    <w:link w:val="24"/>
    <w:qFormat/>
    <w:uiPriority w:val="0"/>
    <w:pPr>
      <w:ind w:firstLine="0" w:firstLineChars="0"/>
      <w:outlineLvl w:val="1"/>
    </w:pPr>
    <w:rPr>
      <w:rFonts w:ascii="楷体" w:hAnsi="楷体" w:eastAsia="楷体" w:cs="楷体"/>
      <w:b/>
      <w:bCs/>
      <w:lang w:bidi="he-IL"/>
    </w:rPr>
  </w:style>
  <w:style w:type="paragraph" w:styleId="5">
    <w:name w:val="heading 3"/>
    <w:basedOn w:val="4"/>
    <w:next w:val="1"/>
    <w:link w:val="25"/>
    <w:qFormat/>
    <w:uiPriority w:val="9"/>
    <w:pPr>
      <w:outlineLvl w:val="2"/>
    </w:pPr>
    <w:rPr>
      <w:rFonts w:cs="宋体"/>
      <w:b w:val="0"/>
      <w:szCs w:val="24"/>
    </w:rPr>
  </w:style>
  <w:style w:type="paragraph" w:styleId="6">
    <w:name w:val="heading 4"/>
    <w:basedOn w:val="1"/>
    <w:next w:val="1"/>
    <w:link w:val="2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30"/>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31"/>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3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标书正文"/>
    <w:basedOn w:val="1"/>
    <w:qFormat/>
    <w:uiPriority w:val="0"/>
    <w:pPr>
      <w:spacing w:line="480" w:lineRule="exact"/>
    </w:pPr>
    <w:rPr>
      <w:rFonts w:ascii="仿宋_GB2312" w:eastAsia="仿宋_GB2312"/>
      <w:snapToGrid w:val="0"/>
      <w:color w:val="000000"/>
    </w:rPr>
  </w:style>
  <w:style w:type="paragraph" w:styleId="12">
    <w:name w:val="annotation text"/>
    <w:basedOn w:val="1"/>
    <w:qFormat/>
    <w:uiPriority w:val="0"/>
    <w:pPr>
      <w:jc w:val="left"/>
    </w:pPr>
  </w:style>
  <w:style w:type="paragraph" w:styleId="13">
    <w:name w:val="Body Text"/>
    <w:basedOn w:val="1"/>
    <w:link w:val="48"/>
    <w:qFormat/>
    <w:uiPriority w:val="1"/>
    <w:pPr>
      <w:autoSpaceDE w:val="0"/>
      <w:autoSpaceDN w:val="0"/>
      <w:spacing w:line="240" w:lineRule="auto"/>
      <w:ind w:firstLine="0" w:firstLineChars="0"/>
      <w:jc w:val="left"/>
    </w:pPr>
    <w:rPr>
      <w:kern w:val="0"/>
    </w:rPr>
  </w:style>
  <w:style w:type="paragraph" w:styleId="14">
    <w:name w:val="footer"/>
    <w:basedOn w:val="1"/>
    <w:link w:val="45"/>
    <w:unhideWhenUsed/>
    <w:qFormat/>
    <w:uiPriority w:val="99"/>
    <w:pPr>
      <w:tabs>
        <w:tab w:val="center" w:pos="4153"/>
        <w:tab w:val="right" w:pos="8306"/>
      </w:tabs>
      <w:snapToGrid w:val="0"/>
      <w:spacing w:line="240" w:lineRule="auto"/>
      <w:jc w:val="left"/>
    </w:pPr>
    <w:rPr>
      <w:sz w:val="18"/>
      <w:szCs w:val="18"/>
    </w:rPr>
  </w:style>
  <w:style w:type="paragraph" w:styleId="15">
    <w:name w:val="header"/>
    <w:basedOn w:val="1"/>
    <w:link w:val="44"/>
    <w:unhideWhenUsed/>
    <w:qFormat/>
    <w:uiPriority w:val="99"/>
    <w:pPr>
      <w:tabs>
        <w:tab w:val="center" w:pos="4153"/>
        <w:tab w:val="right" w:pos="8306"/>
      </w:tabs>
      <w:snapToGrid w:val="0"/>
      <w:spacing w:line="240" w:lineRule="auto"/>
      <w:jc w:val="center"/>
    </w:pPr>
    <w:rPr>
      <w:sz w:val="18"/>
      <w:szCs w:val="18"/>
    </w:rPr>
  </w:style>
  <w:style w:type="paragraph" w:styleId="16">
    <w:name w:val="Subtitle"/>
    <w:basedOn w:val="1"/>
    <w:next w:val="1"/>
    <w:link w:val="3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3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467886" w:themeColor="hyperlink"/>
      <w:u w:val="single"/>
      <w14:textFill>
        <w14:solidFill>
          <w14:schemeClr w14:val="hlink"/>
        </w14:solidFill>
      </w14:textFill>
    </w:rPr>
  </w:style>
  <w:style w:type="paragraph" w:customStyle="1" w:styleId="22">
    <w:name w:val="Section Title"/>
    <w:basedOn w:val="1"/>
    <w:next w:val="1"/>
    <w:qFormat/>
    <w:uiPriority w:val="2"/>
    <w:pPr>
      <w:pageBreakBefore/>
      <w:widowControl/>
      <w:spacing w:after="120"/>
      <w:jc w:val="center"/>
      <w:outlineLvl w:val="0"/>
    </w:pPr>
    <w:rPr>
      <w:rFonts w:asciiTheme="majorHAnsi" w:hAnsiTheme="majorHAnsi" w:eastAsiaTheme="majorEastAsia" w:cstheme="majorBidi"/>
      <w:kern w:val="24"/>
      <w:sz w:val="24"/>
      <w:szCs w:val="24"/>
      <w:lang w:eastAsia="ja-JP"/>
    </w:rPr>
  </w:style>
  <w:style w:type="character" w:customStyle="1" w:styleId="23">
    <w:name w:val="标题 1 字符"/>
    <w:basedOn w:val="20"/>
    <w:link w:val="3"/>
    <w:qFormat/>
    <w:uiPriority w:val="0"/>
    <w:rPr>
      <w:rFonts w:ascii="黑体" w:hAnsi="黑体" w:eastAsia="黑体" w:cs="Times New Roman"/>
      <w:b/>
      <w:sz w:val="32"/>
      <w:szCs w:val="32"/>
      <w:lang w:bidi="he-IL"/>
    </w:rPr>
  </w:style>
  <w:style w:type="character" w:customStyle="1" w:styleId="24">
    <w:name w:val="标题 2 字符"/>
    <w:basedOn w:val="20"/>
    <w:link w:val="4"/>
    <w:qFormat/>
    <w:uiPriority w:val="0"/>
    <w:rPr>
      <w:rFonts w:ascii="楷体" w:hAnsi="楷体" w:eastAsia="楷体" w:cs="楷体"/>
      <w:b/>
      <w:bCs/>
      <w:sz w:val="32"/>
      <w:szCs w:val="32"/>
      <w:lang w:bidi="he-IL"/>
    </w:rPr>
  </w:style>
  <w:style w:type="character" w:customStyle="1" w:styleId="25">
    <w:name w:val="标题 3 字符"/>
    <w:link w:val="5"/>
    <w:qFormat/>
    <w:uiPriority w:val="9"/>
    <w:rPr>
      <w:rFonts w:ascii="Times New Roman" w:hAnsi="Times New Roman" w:eastAsia="宋体" w:cs="宋体"/>
      <w:kern w:val="0"/>
      <w:sz w:val="24"/>
      <w:szCs w:val="24"/>
    </w:rPr>
  </w:style>
  <w:style w:type="paragraph" w:customStyle="1" w:styleId="26">
    <w:name w:val="新正文"/>
    <w:basedOn w:val="1"/>
    <w:link w:val="27"/>
    <w:qFormat/>
    <w:uiPriority w:val="0"/>
    <w:pPr>
      <w:adjustRightInd w:val="0"/>
      <w:snapToGrid w:val="0"/>
      <w:ind w:firstLine="720"/>
      <w:jc w:val="left"/>
    </w:pPr>
    <w:rPr>
      <w:rFonts w:ascii="Times New Roman" w:hAnsi="Times New Roman" w:eastAsia="宋体" w:cs="Avenir LT Std 35 Light"/>
      <w:color w:val="000000"/>
      <w:sz w:val="24"/>
      <w:szCs w:val="24"/>
    </w:rPr>
  </w:style>
  <w:style w:type="character" w:customStyle="1" w:styleId="27">
    <w:name w:val="新正文 字符"/>
    <w:basedOn w:val="20"/>
    <w:link w:val="26"/>
    <w:qFormat/>
    <w:uiPriority w:val="0"/>
    <w:rPr>
      <w:rFonts w:ascii="Times New Roman" w:hAnsi="Times New Roman" w:eastAsia="宋体" w:cs="Avenir LT Std 35 Light"/>
      <w:color w:val="000000"/>
      <w:sz w:val="24"/>
      <w:szCs w:val="24"/>
    </w:rPr>
  </w:style>
  <w:style w:type="paragraph" w:customStyle="1" w:styleId="28">
    <w:name w:val="图标标题"/>
    <w:basedOn w:val="1"/>
    <w:qFormat/>
    <w:uiPriority w:val="0"/>
    <w:pPr>
      <w:adjustRightInd w:val="0"/>
      <w:snapToGrid w:val="0"/>
      <w:jc w:val="left"/>
    </w:pPr>
    <w:rPr>
      <w:rFonts w:ascii="Times New Roman" w:hAnsi="Times New Roman" w:eastAsia="Times New Roman" w:cs="Times New Roman"/>
      <w:i/>
      <w:iCs/>
      <w:color w:val="000000"/>
      <w:sz w:val="18"/>
      <w:szCs w:val="21"/>
    </w:rPr>
  </w:style>
  <w:style w:type="character" w:customStyle="1" w:styleId="29">
    <w:name w:val="标题 4 字符"/>
    <w:basedOn w:val="20"/>
    <w:link w:val="6"/>
    <w:semiHidden/>
    <w:qFormat/>
    <w:uiPriority w:val="9"/>
    <w:rPr>
      <w:rFonts w:cstheme="majorBidi"/>
      <w:color w:val="104862" w:themeColor="accent1" w:themeShade="BF"/>
      <w:sz w:val="28"/>
      <w:szCs w:val="28"/>
    </w:rPr>
  </w:style>
  <w:style w:type="character" w:customStyle="1" w:styleId="30">
    <w:name w:val="标题 5 字符"/>
    <w:basedOn w:val="20"/>
    <w:link w:val="7"/>
    <w:semiHidden/>
    <w:qFormat/>
    <w:uiPriority w:val="9"/>
    <w:rPr>
      <w:rFonts w:cstheme="majorBidi"/>
      <w:color w:val="104862" w:themeColor="accent1" w:themeShade="BF"/>
      <w:sz w:val="24"/>
      <w:szCs w:val="24"/>
    </w:rPr>
  </w:style>
  <w:style w:type="character" w:customStyle="1" w:styleId="31">
    <w:name w:val="标题 6 字符"/>
    <w:basedOn w:val="20"/>
    <w:link w:val="8"/>
    <w:semiHidden/>
    <w:qFormat/>
    <w:uiPriority w:val="9"/>
    <w:rPr>
      <w:rFonts w:cstheme="majorBidi"/>
      <w:b/>
      <w:bCs/>
      <w:color w:val="104862" w:themeColor="accent1" w:themeShade="BF"/>
    </w:rPr>
  </w:style>
  <w:style w:type="character" w:customStyle="1" w:styleId="32">
    <w:name w:val="标题 7 字符"/>
    <w:basedOn w:val="20"/>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字符"/>
    <w:basedOn w:val="20"/>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标题 9 字符"/>
    <w:basedOn w:val="20"/>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6">
    <w:name w:val="副标题 字符"/>
    <w:basedOn w:val="20"/>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字符"/>
    <w:basedOn w:val="20"/>
    <w:link w:val="37"/>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1"/>
    <w:pPr>
      <w:ind w:left="720"/>
      <w:contextualSpacing/>
    </w:pPr>
  </w:style>
  <w:style w:type="character" w:customStyle="1" w:styleId="40">
    <w:name w:val="明显强调1"/>
    <w:basedOn w:val="20"/>
    <w:qFormat/>
    <w:uiPriority w:val="21"/>
    <w:rPr>
      <w:i/>
      <w:iCs/>
      <w:color w:val="104862" w:themeColor="accent1" w:themeShade="BF"/>
    </w:rPr>
  </w:style>
  <w:style w:type="paragraph" w:styleId="41">
    <w:name w:val="Intense Quote"/>
    <w:basedOn w:val="1"/>
    <w:next w:val="1"/>
    <w:link w:val="4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2">
    <w:name w:val="明显引用 字符"/>
    <w:basedOn w:val="20"/>
    <w:link w:val="41"/>
    <w:qFormat/>
    <w:uiPriority w:val="30"/>
    <w:rPr>
      <w:i/>
      <w:iCs/>
      <w:color w:val="104862" w:themeColor="accent1" w:themeShade="BF"/>
    </w:rPr>
  </w:style>
  <w:style w:type="character" w:customStyle="1" w:styleId="43">
    <w:name w:val="明显参考1"/>
    <w:basedOn w:val="20"/>
    <w:qFormat/>
    <w:uiPriority w:val="32"/>
    <w:rPr>
      <w:b/>
      <w:bCs/>
      <w:smallCaps/>
      <w:color w:val="104862" w:themeColor="accent1" w:themeShade="BF"/>
      <w:spacing w:val="5"/>
    </w:rPr>
  </w:style>
  <w:style w:type="character" w:customStyle="1" w:styleId="44">
    <w:name w:val="页眉 字符"/>
    <w:basedOn w:val="20"/>
    <w:link w:val="15"/>
    <w:qFormat/>
    <w:uiPriority w:val="99"/>
    <w:rPr>
      <w:sz w:val="18"/>
      <w:szCs w:val="18"/>
    </w:rPr>
  </w:style>
  <w:style w:type="character" w:customStyle="1" w:styleId="45">
    <w:name w:val="页脚 字符"/>
    <w:basedOn w:val="20"/>
    <w:link w:val="14"/>
    <w:qFormat/>
    <w:uiPriority w:val="99"/>
    <w:rPr>
      <w:sz w:val="18"/>
      <w:szCs w:val="18"/>
    </w:rPr>
  </w:style>
  <w:style w:type="character" w:customStyle="1" w:styleId="46">
    <w:name w:val="未处理的提及1"/>
    <w:basedOn w:val="20"/>
    <w:semiHidden/>
    <w:unhideWhenUsed/>
    <w:qFormat/>
    <w:uiPriority w:val="99"/>
    <w:rPr>
      <w:color w:val="605E5C"/>
      <w:shd w:val="clear" w:color="auto" w:fill="E1DFDD"/>
    </w:rPr>
  </w:style>
  <w:style w:type="table" w:customStyle="1" w:styleId="47">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48">
    <w:name w:val="正文文本 字符"/>
    <w:basedOn w:val="20"/>
    <w:link w:val="13"/>
    <w:qFormat/>
    <w:uiPriority w:val="1"/>
    <w:rPr>
      <w:rFonts w:ascii="仿宋" w:hAnsi="仿宋" w:eastAsia="仿宋" w:cs="仿宋"/>
      <w:kern w:val="0"/>
      <w:sz w:val="32"/>
      <w:szCs w:val="32"/>
    </w:rPr>
  </w:style>
  <w:style w:type="paragraph" w:customStyle="1" w:styleId="49">
    <w:name w:val="Table Paragraph"/>
    <w:basedOn w:val="1"/>
    <w:qFormat/>
    <w:uiPriority w:val="1"/>
    <w:pPr>
      <w:autoSpaceDE w:val="0"/>
      <w:autoSpaceDN w:val="0"/>
      <w:spacing w:line="240" w:lineRule="auto"/>
      <w:ind w:firstLine="0" w:firstLineChars="0"/>
      <w:jc w:val="left"/>
    </w:pPr>
    <w:rPr>
      <w:rFonts w:ascii="宋体" w:hAnsi="宋体" w:eastAsia="宋体" w:cs="宋体"/>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d26384e0-6637-4cd6-ae7f-d95e25e851d6</errorID>
      <errorWord>）</errorWord>
      <group>L1_Word</group>
      <groupName>字词问题</groupName>
      <ability>L2_Typo</ability>
      <abilityName>字词错误</abilityName>
      <candidateList>
        <item>）和</item>
      </candidateList>
      <explain/>
      <paraID>2B168885</paraID>
      <start>32</start>
      <end>33</end>
      <status>ignored</status>
      <modifiedWord/>
      <trackRevisions>false</trackRevisions>
    </reviewItem>
  </reviewItems>
  <config/>
</contractReview>
</file>

<file path=customXml/itemProps1.xml><?xml version="1.0" encoding="utf-8"?>
<ds:datastoreItem xmlns:ds="http://schemas.openxmlformats.org/officeDocument/2006/customXml" ds:itemID="{39c6f488-2273-411d-8f6f-2c7f900bbab7}">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1792</Words>
  <Characters>1799</Characters>
  <Lines>48</Lines>
  <Paragraphs>13</Paragraphs>
  <TotalTime>10</TotalTime>
  <ScaleCrop>false</ScaleCrop>
  <LinksUpToDate>false</LinksUpToDate>
  <CharactersWithSpaces>1801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2026-06-29T03:13:00Z</dcterms:created>
  <dc:creator>yyf202013090030@outlook.com</dc:creator>
  <cp:lastModifiedBy>日月明</cp:lastModifiedBy>
  <cp:lastPrinted>2026-08-12T03:28:00Z</cp:lastPrinted>
  <dcterms:modified xsi:type="dcterms:W3CDTF">2026-08-12T03:40:48Z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3FDD0B3511EA4D0E9B8102108EEA18E7_13</vt:lpwstr>
  </property>
  <property fmtid="{D5CDD505-2E9C-101B-9397-08002B2CF9AE}" pid="4" name="KSOTemplateDocerSaveRecord">
    <vt:lpwstr>eyJoZGlkIjoiMzEwNTM5NzYwMDRjMzkwZTVkZjY2ODkwMGIxNGU0OTUiLCJ1c2VySWQiOiI0MzQ0NDUwMzQifQ==</vt:lpwstr>
  </property>
</Properties>
</file>